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A4" w:rsidRDefault="00A12B4C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F613A4" w:rsidRDefault="00F613A4">
      <w:pPr>
        <w:pStyle w:val="KonuBal"/>
        <w:rPr>
          <w:rFonts w:ascii="Times New Roman" w:hAnsi="Times New Roman"/>
          <w:sz w:val="22"/>
          <w:szCs w:val="22"/>
        </w:rPr>
      </w:pPr>
    </w:p>
    <w:p w:rsidR="00F613A4" w:rsidRDefault="00A12B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F613A4" w:rsidRDefault="00F613A4">
      <w:pPr>
        <w:jc w:val="center"/>
        <w:rPr>
          <w:b/>
          <w:sz w:val="22"/>
          <w:szCs w:val="22"/>
        </w:rPr>
      </w:pPr>
    </w:p>
    <w:p w:rsidR="00F613A4" w:rsidRDefault="00F613A4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F613A4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İç Hastalıkları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TIP611</w:t>
            </w:r>
          </w:p>
        </w:tc>
      </w:tr>
      <w:tr w:rsidR="00F613A4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741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AKTS:10 KREDİ:</w:t>
            </w:r>
            <w:r w:rsidRPr="00F42E36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6.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F613A4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ay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saat: 352 saat</w:t>
            </w:r>
          </w:p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F613A4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F61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Sorumlu Öğretim Üyesi</w:t>
            </w:r>
          </w:p>
          <w:p w:rsidR="00F613A4" w:rsidRDefault="00F61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</w:p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b/>
                <w:sz w:val="22"/>
                <w:szCs w:val="22"/>
              </w:rPr>
              <w:t>Bahaüddin</w:t>
            </w:r>
            <w:proofErr w:type="spellEnd"/>
            <w:r>
              <w:rPr>
                <w:b/>
                <w:sz w:val="22"/>
                <w:szCs w:val="22"/>
              </w:rPr>
              <w:t xml:space="preserve"> ÇOLAKOĞLU</w:t>
            </w:r>
          </w:p>
          <w:p w:rsidR="00F613A4" w:rsidRDefault="00F61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F613A4" w:rsidRDefault="00F613A4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F613A4" w:rsidRDefault="00271C11">
            <w:pPr>
              <w:jc w:val="center"/>
              <w:rPr>
                <w:sz w:val="22"/>
                <w:szCs w:val="22"/>
              </w:rPr>
            </w:pPr>
            <w:hyperlink r:id="rId9">
              <w:r w:rsidR="00A12B4C">
                <w:rPr>
                  <w:color w:val="1155CC"/>
                  <w:sz w:val="22"/>
                  <w:szCs w:val="22"/>
                  <w:u w:val="single"/>
                </w:rPr>
                <w:t>bahauddin.colakoglu@yeniyuzyil.edu.tr</w:t>
              </w:r>
            </w:hyperlink>
          </w:p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</w:tr>
      <w:tr w:rsidR="00F613A4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13A4" w:rsidRDefault="00A12B4C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Saatleri:  Her gün 15.00-17.00</w:t>
            </w:r>
          </w:p>
          <w:p w:rsidR="00F613A4" w:rsidRDefault="00F61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F613A4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3A4" w:rsidRDefault="00F613A4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F613A4" w:rsidRDefault="00A12B4C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>Dersin amacı:</w:t>
      </w:r>
      <w:r>
        <w:rPr>
          <w:sz w:val="22"/>
          <w:szCs w:val="22"/>
        </w:rPr>
        <w:t xml:space="preserve"> Öğrencilere özellikle birinci basamakta karşılarına çıkabilecek iç hastalıkları ile ilgili hastalıkların tanısı ve tedavisi ve koruyuculuğu ile ilgili bilgi ve becerilerin kazandırılması.</w:t>
      </w:r>
    </w:p>
    <w:p w:rsidR="00F613A4" w:rsidRDefault="00F613A4">
      <w:pPr>
        <w:shd w:val="clear" w:color="auto" w:fill="FFFFFF"/>
        <w:rPr>
          <w:sz w:val="22"/>
          <w:szCs w:val="22"/>
        </w:rPr>
      </w:pPr>
    </w:p>
    <w:p w:rsidR="00F613A4" w:rsidRDefault="00A12B4C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 xml:space="preserve">Dersin İçeriği: </w:t>
      </w:r>
      <w:r>
        <w:rPr>
          <w:sz w:val="22"/>
          <w:szCs w:val="22"/>
        </w:rPr>
        <w:t xml:space="preserve">Dersler, iç hastalıkları alanında gerekli teorik bilgilere dayanılarak pratik uygulamayı ve tutumları kazanmayı içerir. Bunun için Genel </w:t>
      </w:r>
      <w:proofErr w:type="gramStart"/>
      <w:r>
        <w:rPr>
          <w:sz w:val="22"/>
          <w:szCs w:val="22"/>
        </w:rPr>
        <w:t>Dahiliye</w:t>
      </w:r>
      <w:proofErr w:type="gramEnd"/>
      <w:r>
        <w:rPr>
          <w:sz w:val="22"/>
          <w:szCs w:val="22"/>
        </w:rPr>
        <w:t xml:space="preserve">, Kardiyoloji, Göğüs Hastalıkları, </w:t>
      </w:r>
      <w:proofErr w:type="spellStart"/>
      <w:r>
        <w:rPr>
          <w:sz w:val="22"/>
          <w:szCs w:val="22"/>
        </w:rPr>
        <w:t>Nefroloji</w:t>
      </w:r>
      <w:proofErr w:type="spellEnd"/>
      <w:r>
        <w:rPr>
          <w:sz w:val="22"/>
          <w:szCs w:val="22"/>
        </w:rPr>
        <w:t xml:space="preserve">, Hematoloji, Gastroenteroloji, </w:t>
      </w:r>
      <w:proofErr w:type="spellStart"/>
      <w:r>
        <w:rPr>
          <w:sz w:val="22"/>
          <w:szCs w:val="22"/>
        </w:rPr>
        <w:t>İnfeksiyon</w:t>
      </w:r>
      <w:proofErr w:type="spellEnd"/>
      <w:r>
        <w:rPr>
          <w:sz w:val="22"/>
          <w:szCs w:val="22"/>
        </w:rPr>
        <w:t xml:space="preserve"> Hastalıkları, Tıbbi Onkoloji kliniklerinde rotasyon ile görev alacak öğrenciler aynı zamanda belirlenmiş günlerde gece nöbetleri de tutacaklardır. Eğitim poliklinik, servisler ve yoğun bakım ünitelerinde gerçekleştirilecektir.</w:t>
      </w:r>
    </w:p>
    <w:p w:rsidR="00F613A4" w:rsidRDefault="00F613A4">
      <w:pPr>
        <w:shd w:val="clear" w:color="auto" w:fill="FFFFFF"/>
        <w:rPr>
          <w:sz w:val="22"/>
          <w:szCs w:val="22"/>
        </w:rPr>
      </w:pPr>
    </w:p>
    <w:p w:rsidR="00F613A4" w:rsidRDefault="00A12B4C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F613A4" w:rsidRDefault="00A12B4C">
      <w:pPr>
        <w:numPr>
          <w:ilvl w:val="0"/>
          <w:numId w:val="1"/>
        </w:numPr>
        <w:spacing w:before="280"/>
        <w:rPr>
          <w:sz w:val="22"/>
          <w:szCs w:val="22"/>
        </w:rPr>
      </w:pPr>
      <w:r>
        <w:rPr>
          <w:sz w:val="22"/>
          <w:szCs w:val="22"/>
        </w:rPr>
        <w:t xml:space="preserve">Erişkin bir bireyi bütün olarak değerlendirerek </w:t>
      </w:r>
      <w:proofErr w:type="gramStart"/>
      <w:r>
        <w:rPr>
          <w:sz w:val="22"/>
          <w:szCs w:val="22"/>
        </w:rPr>
        <w:t>hikayesini</w:t>
      </w:r>
      <w:proofErr w:type="gramEnd"/>
      <w:r>
        <w:rPr>
          <w:sz w:val="22"/>
          <w:szCs w:val="22"/>
        </w:rPr>
        <w:t xml:space="preserve"> alıp, fizik muayene yapar.</w:t>
      </w:r>
    </w:p>
    <w:p w:rsidR="00F613A4" w:rsidRDefault="00A12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Ön ve ayırıcı tanılarını oluşturur.</w:t>
      </w:r>
    </w:p>
    <w:p w:rsidR="00F613A4" w:rsidRDefault="00A12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Laboratuvar tetkiklerini, maliyet-etkinlik, hastalığın tanısına katkısı ve tetkikin performansını göz önüne alarak ister ve yorumlar.</w:t>
      </w:r>
    </w:p>
    <w:p w:rsidR="00F613A4" w:rsidRDefault="00A12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Akut </w:t>
      </w:r>
      <w:proofErr w:type="gramStart"/>
      <w:r>
        <w:rPr>
          <w:sz w:val="22"/>
          <w:szCs w:val="22"/>
        </w:rPr>
        <w:t>dahili</w:t>
      </w:r>
      <w:proofErr w:type="gramEnd"/>
      <w:r>
        <w:rPr>
          <w:sz w:val="22"/>
          <w:szCs w:val="22"/>
        </w:rPr>
        <w:t xml:space="preserve"> sorunları yönetir.</w:t>
      </w:r>
    </w:p>
    <w:p w:rsidR="00F613A4" w:rsidRDefault="00A12B4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Kronik hastalıkları yönetir.</w:t>
      </w:r>
    </w:p>
    <w:p w:rsidR="00F613A4" w:rsidRDefault="00A12B4C">
      <w:pPr>
        <w:numPr>
          <w:ilvl w:val="0"/>
          <w:numId w:val="1"/>
        </w:numPr>
        <w:spacing w:after="280"/>
        <w:rPr>
          <w:sz w:val="22"/>
          <w:szCs w:val="22"/>
        </w:rPr>
      </w:pPr>
      <w:r>
        <w:rPr>
          <w:sz w:val="22"/>
          <w:szCs w:val="22"/>
        </w:rPr>
        <w:t>Koruyucu hekimlik yaklaşımlarını uygulayabilir.</w:t>
      </w:r>
    </w:p>
    <w:p w:rsidR="00F613A4" w:rsidRDefault="00A12B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Öğretim Yöntem ve Teknikleri: </w:t>
      </w:r>
    </w:p>
    <w:p w:rsidR="00F613A4" w:rsidRDefault="00F613A4">
      <w:pPr>
        <w:rPr>
          <w:b/>
          <w:sz w:val="22"/>
          <w:szCs w:val="22"/>
        </w:rPr>
      </w:pPr>
    </w:p>
    <w:p w:rsidR="00F613A4" w:rsidRDefault="00A12B4C"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Anlatım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Tartışma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Soru-Yanıt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Gözlem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lastRenderedPageBreak/>
        <w:t>Gösteri</w:t>
      </w:r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>Uygulama-Alıştırma</w:t>
      </w:r>
    </w:p>
    <w:p w:rsidR="00F613A4" w:rsidRDefault="00F613A4">
      <w:pPr>
        <w:rPr>
          <w:sz w:val="22"/>
          <w:szCs w:val="22"/>
        </w:rPr>
      </w:pPr>
    </w:p>
    <w:p w:rsidR="00F613A4" w:rsidRDefault="00A12B4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Tıp eğitiminin ilk 5 dönemini başarı ile tamamlamış olmak</w:t>
      </w:r>
    </w:p>
    <w:p w:rsidR="00F613A4" w:rsidRDefault="00F613A4">
      <w:pPr>
        <w:jc w:val="both"/>
        <w:rPr>
          <w:b/>
          <w:sz w:val="22"/>
          <w:szCs w:val="22"/>
        </w:rPr>
      </w:pPr>
    </w:p>
    <w:p w:rsidR="00F613A4" w:rsidRDefault="00A12B4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F613A4" w:rsidRDefault="00A12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10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Harrison </w:t>
      </w:r>
      <w:proofErr w:type="spellStart"/>
      <w:r>
        <w:rPr>
          <w:rFonts w:eastAsia="Times New Roman"/>
          <w:color w:val="000000"/>
          <w:sz w:val="22"/>
          <w:szCs w:val="22"/>
        </w:rPr>
        <w:t>Texbook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</w:p>
    <w:p w:rsidR="00F613A4" w:rsidRDefault="00A12B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110"/>
        <w:jc w:val="both"/>
        <w:rPr>
          <w:rFonts w:eastAsia="Times New Roman"/>
          <w:b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Current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Therapy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Cecil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Essentials of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İç Hastalıkları (ed. Ünal </w:t>
      </w:r>
      <w:proofErr w:type="spellStart"/>
      <w:r>
        <w:rPr>
          <w:rFonts w:eastAsia="Times New Roman"/>
          <w:color w:val="000000"/>
          <w:sz w:val="22"/>
          <w:szCs w:val="22"/>
        </w:rPr>
        <w:t>Yasavul</w:t>
      </w:r>
      <w:proofErr w:type="spellEnd"/>
      <w:r>
        <w:rPr>
          <w:rFonts w:eastAsia="Times New Roman"/>
          <w:color w:val="000000"/>
          <w:sz w:val="22"/>
          <w:szCs w:val="22"/>
        </w:rPr>
        <w:t>)  </w:t>
      </w:r>
    </w:p>
    <w:p w:rsidR="00F613A4" w:rsidRDefault="00A12B4C">
      <w:pPr>
        <w:ind w:right="-1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Yardımcı Kaynaklar:</w:t>
      </w:r>
    </w:p>
    <w:p w:rsidR="00F613A4" w:rsidRDefault="00A12B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11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İç Hastalıkları, </w:t>
      </w:r>
      <w:proofErr w:type="spellStart"/>
      <w:r>
        <w:rPr>
          <w:rFonts w:eastAsia="Times New Roman"/>
          <w:color w:val="000000"/>
          <w:sz w:val="22"/>
          <w:szCs w:val="22"/>
        </w:rPr>
        <w:t>İliçin</w:t>
      </w:r>
      <w:proofErr w:type="spellEnd"/>
      <w:r>
        <w:rPr>
          <w:rFonts w:eastAsia="Times New Roman"/>
          <w:color w:val="000000"/>
          <w:sz w:val="22"/>
          <w:szCs w:val="22"/>
        </w:rPr>
        <w:t>, Berberoğlu,  Süleymanlar, Ünal</w:t>
      </w:r>
      <w:r w:rsidR="00B00031">
        <w:rPr>
          <w:rFonts w:eastAsia="Times New Roman"/>
          <w:color w:val="000000"/>
          <w:sz w:val="22"/>
          <w:szCs w:val="22"/>
        </w:rPr>
        <w:t>.</w:t>
      </w:r>
    </w:p>
    <w:p w:rsidR="00F613A4" w:rsidRDefault="00F613A4">
      <w:pPr>
        <w:jc w:val="both"/>
        <w:rPr>
          <w:sz w:val="22"/>
          <w:szCs w:val="22"/>
        </w:rPr>
      </w:pPr>
    </w:p>
    <w:p w:rsidR="00F613A4" w:rsidRDefault="00A12B4C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F613A4" w:rsidRDefault="00F613A4">
      <w:pPr>
        <w:rPr>
          <w:b/>
          <w:sz w:val="22"/>
          <w:szCs w:val="22"/>
        </w:rPr>
      </w:pPr>
    </w:p>
    <w:tbl>
      <w:tblPr>
        <w:tblStyle w:val="a0"/>
        <w:tblpPr w:leftFromText="141" w:rightFromText="141" w:vertAnchor="text" w:tblpY="42"/>
        <w:tblW w:w="84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Konular </w:t>
            </w:r>
          </w:p>
        </w:tc>
      </w:tr>
      <w:tr w:rsidR="00F613A4">
        <w:trPr>
          <w:trHeight w:val="1409"/>
        </w:trPr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Erişkin bir hastayı bütün olarak değerlendirmek, hazırlamak ve sunmak. </w:t>
            </w:r>
            <w:r w:rsidR="00B0003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Ön ve ayırıcı tanılarını oluşturmak. </w:t>
            </w:r>
            <w:proofErr w:type="gramEnd"/>
            <w:r>
              <w:rPr>
                <w:sz w:val="22"/>
                <w:szCs w:val="22"/>
              </w:rPr>
              <w:t>Laboratuvar tetkiklerini, maliyet-etkinlik, hastalığın tanısına katkısı ve tetkikin performansını göz önüne alarak istemek ve yorumlamak.</w:t>
            </w:r>
          </w:p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Akut ve kronik kardiyolojik sorunların yönetimi.</w:t>
            </w:r>
            <w:proofErr w:type="gramEnd"/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Erişkin bir hastayı bütün olarak değerlendirmek, hazırlamak ve sunmak. Ön ve ayırıcı tanılarını oluşturmak. </w:t>
            </w:r>
            <w:proofErr w:type="gramEnd"/>
            <w:r>
              <w:rPr>
                <w:sz w:val="22"/>
                <w:szCs w:val="22"/>
              </w:rPr>
              <w:t>Laboratuvar tetkiklerini, maliyet-etkinlik, hastalığın tanısına katkısı ve tetkikin performansını göz önüne alarak istemek ve yorumlamak.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Akut ve kronik genel </w:t>
            </w:r>
            <w:proofErr w:type="gramStart"/>
            <w:r>
              <w:rPr>
                <w:sz w:val="22"/>
                <w:szCs w:val="22"/>
              </w:rPr>
              <w:t>dahili</w:t>
            </w:r>
            <w:proofErr w:type="gramEnd"/>
            <w:r>
              <w:rPr>
                <w:sz w:val="22"/>
                <w:szCs w:val="22"/>
              </w:rPr>
              <w:t xml:space="preserve"> sorunların yönetimi.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Erişkin bir hastayı bütün olarak değerlendirmek, hazırlamak ve sunmak. Ön ve ayırıcı tanılarını oluşturmak. </w:t>
            </w:r>
            <w:proofErr w:type="gramEnd"/>
            <w:r>
              <w:rPr>
                <w:sz w:val="22"/>
                <w:szCs w:val="22"/>
              </w:rPr>
              <w:t>Laboratuvar tetkiklerini, maliyet-etkinlik, hastalığın tanısına katkısı ve tetkikin performansını göz önüne alarak istemek ve yorumlamak.</w:t>
            </w:r>
          </w:p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Akut ve kronik </w:t>
            </w:r>
            <w:proofErr w:type="spellStart"/>
            <w:r>
              <w:rPr>
                <w:sz w:val="22"/>
                <w:szCs w:val="22"/>
              </w:rPr>
              <w:t>nefrolojik</w:t>
            </w:r>
            <w:proofErr w:type="spellEnd"/>
            <w:r>
              <w:rPr>
                <w:sz w:val="22"/>
                <w:szCs w:val="22"/>
              </w:rPr>
              <w:t xml:space="preserve"> sorunların yönetimi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Akut ve kronik gastroenterolojik hastalıklar ve göğüs hastalıklarının yönetimi</w:t>
            </w:r>
          </w:p>
        </w:tc>
      </w:tr>
      <w:tr w:rsidR="00F613A4">
        <w:tc>
          <w:tcPr>
            <w:tcW w:w="817" w:type="dxa"/>
            <w:shd w:val="clear" w:color="auto" w:fill="auto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23" w:type="dxa"/>
            <w:shd w:val="clear" w:color="auto" w:fill="auto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Akut ve kronik hematolojik ve onkolojik sorunların yönetimi</w:t>
            </w:r>
          </w:p>
        </w:tc>
      </w:tr>
    </w:tbl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1734F9" w:rsidRDefault="001734F9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A12B4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DERSİN ÖĞRENİM ÇIKTILARININ PROGRAM YETERLİLİKLERİ İLE İLİŞKİSİ </w:t>
      </w:r>
    </w:p>
    <w:p w:rsidR="00F613A4" w:rsidRDefault="00A12B4C">
      <w:pPr>
        <w:rPr>
          <w:b/>
          <w:sz w:val="22"/>
          <w:szCs w:val="22"/>
        </w:rPr>
      </w:pPr>
      <w:r>
        <w:rPr>
          <w:b/>
          <w:sz w:val="22"/>
          <w:szCs w:val="22"/>
        </w:rPr>
        <w:t>(Dersin program çıktıları ile ilişkisi işaretlenecek 11 maddede değişiklik yapılmayacak)</w:t>
      </w:r>
    </w:p>
    <w:p w:rsidR="00F613A4" w:rsidRDefault="00F613A4">
      <w:pPr>
        <w:rPr>
          <w:b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80"/>
        <w:gridCol w:w="375"/>
        <w:gridCol w:w="375"/>
        <w:gridCol w:w="326"/>
        <w:gridCol w:w="326"/>
        <w:gridCol w:w="375"/>
      </w:tblGrid>
      <w:tr w:rsidR="00F613A4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0" w:type="dxa"/>
            <w:vMerge w:val="restart"/>
            <w:tcBorders>
              <w:top w:val="single" w:sz="12" w:space="0" w:color="000000"/>
            </w:tcBorders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777" w:type="dxa"/>
            <w:gridSpan w:val="5"/>
            <w:tcBorders>
              <w:top w:val="single" w:sz="12" w:space="0" w:color="000000"/>
            </w:tcBorders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F613A4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F613A4" w:rsidRDefault="00F61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80" w:type="dxa"/>
            <w:vMerge/>
            <w:tcBorders>
              <w:top w:val="single" w:sz="12" w:space="0" w:color="000000"/>
            </w:tcBorders>
          </w:tcPr>
          <w:p w:rsidR="00F613A4" w:rsidRDefault="00F61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F613A4">
        <w:trPr>
          <w:trHeight w:val="233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250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250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534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233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608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80" w:type="dxa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590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233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</w:tr>
      <w:tr w:rsidR="00F613A4">
        <w:trPr>
          <w:trHeight w:val="438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613A4">
        <w:trPr>
          <w:trHeight w:val="250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0" w:type="dxa"/>
          </w:tcPr>
          <w:p w:rsidR="00F613A4" w:rsidRDefault="00A12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</w:tr>
      <w:tr w:rsidR="00F613A4">
        <w:trPr>
          <w:trHeight w:val="250"/>
        </w:trPr>
        <w:tc>
          <w:tcPr>
            <w:tcW w:w="456" w:type="dxa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80" w:type="dxa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F613A4" w:rsidRDefault="00A12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F613A4" w:rsidRDefault="00F613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:rsidR="00F613A4" w:rsidRDefault="00F613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613A4" w:rsidRDefault="00F613A4">
      <w:pPr>
        <w:rPr>
          <w:b/>
          <w:sz w:val="22"/>
          <w:szCs w:val="22"/>
        </w:rPr>
      </w:pPr>
    </w:p>
    <w:p w:rsidR="00F613A4" w:rsidRDefault="00A12B4C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F613A4" w:rsidRDefault="00F613A4">
      <w:pPr>
        <w:rPr>
          <w:b/>
          <w:sz w:val="22"/>
          <w:szCs w:val="22"/>
        </w:rPr>
      </w:pPr>
    </w:p>
    <w:p w:rsidR="00F613A4" w:rsidRDefault="00F613A4">
      <w:pPr>
        <w:rPr>
          <w:b/>
          <w:sz w:val="22"/>
          <w:szCs w:val="22"/>
        </w:rPr>
      </w:pPr>
    </w:p>
    <w:p w:rsidR="00F613A4" w:rsidRDefault="00A12B4C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5x toplam ders saati)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F613A4" w:rsidRDefault="00F613A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  <w:vAlign w:val="center"/>
          </w:tcPr>
          <w:p w:rsidR="00F613A4" w:rsidRDefault="00A12B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3A4">
        <w:tc>
          <w:tcPr>
            <w:tcW w:w="5353" w:type="dxa"/>
          </w:tcPr>
          <w:p w:rsidR="00F613A4" w:rsidRDefault="00A12B4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F613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13A4" w:rsidRDefault="00A12B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</w:tbl>
    <w:p w:rsidR="00F613A4" w:rsidRDefault="00F613A4">
      <w:pPr>
        <w:rPr>
          <w:sz w:val="22"/>
          <w:szCs w:val="22"/>
        </w:rPr>
      </w:pPr>
    </w:p>
    <w:sectPr w:rsidR="00F61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11" w:rsidRDefault="00271C11">
      <w:r>
        <w:separator/>
      </w:r>
    </w:p>
  </w:endnote>
  <w:endnote w:type="continuationSeparator" w:id="0">
    <w:p w:rsidR="00271C11" w:rsidRDefault="0027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A12B4C">
    <w:pPr>
      <w:tabs>
        <w:tab w:val="center" w:pos="4550"/>
        <w:tab w:val="left" w:pos="5818"/>
      </w:tabs>
      <w:ind w:right="260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B00031">
      <w:rPr>
        <w:noProof/>
        <w:color w:val="323E4F"/>
      </w:rPr>
      <w:t>3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B00031">
      <w:rPr>
        <w:noProof/>
        <w:color w:val="323E4F"/>
      </w:rPr>
      <w:t>3</w:t>
    </w:r>
    <w:r>
      <w:rPr>
        <w:color w:val="323E4F"/>
      </w:rPr>
      <w:fldChar w:fldCharType="end"/>
    </w:r>
  </w:p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11" w:rsidRDefault="00271C11">
      <w:r>
        <w:separator/>
      </w:r>
    </w:p>
  </w:footnote>
  <w:footnote w:type="continuationSeparator" w:id="0">
    <w:p w:rsidR="00271C11" w:rsidRDefault="00271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A12B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bookmarkStart w:id="1" w:name="_heading=h.gjdgxs" w:colFirst="0" w:colLast="0"/>
    <w:bookmarkEnd w:id="1"/>
    <w:r>
      <w:rPr>
        <w:rFonts w:eastAsia="Times New Roman"/>
        <w:noProof/>
        <w:color w:val="000000"/>
        <w:lang w:eastAsia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A4" w:rsidRDefault="00F61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71BF0"/>
    <w:multiLevelType w:val="multilevel"/>
    <w:tmpl w:val="F4DA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F4E4A64"/>
    <w:multiLevelType w:val="multilevel"/>
    <w:tmpl w:val="6524993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 w:val="0"/>
        <w:color w:val="603F65"/>
        <w:sz w:val="29"/>
        <w:szCs w:val="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45AF3"/>
    <w:multiLevelType w:val="multilevel"/>
    <w:tmpl w:val="ABC4EF9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13A4"/>
    <w:rsid w:val="000E2762"/>
    <w:rsid w:val="001734F9"/>
    <w:rsid w:val="00271C11"/>
    <w:rsid w:val="00695060"/>
    <w:rsid w:val="007410E8"/>
    <w:rsid w:val="00A12B4C"/>
    <w:rsid w:val="00B00031"/>
    <w:rsid w:val="00F42E36"/>
    <w:rsid w:val="00F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A241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A241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A241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A241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hauddin.colakoglu@yeniyuzyil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Ry/oTU2xM9QHoRIi1570k1t6g==">CgMxLjAyCGguZ2pkZ3hzOAByITFJZ1ROTmNqcDV0SnppTk5sZWp5Skh2Yk1wWENRM1QyUg==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User</cp:lastModifiedBy>
  <cp:revision>6</cp:revision>
  <dcterms:created xsi:type="dcterms:W3CDTF">2023-01-18T13:24:00Z</dcterms:created>
  <dcterms:modified xsi:type="dcterms:W3CDTF">2025-10-09T15:46:00Z</dcterms:modified>
</cp:coreProperties>
</file>